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新宋体" w:hAnsi="新宋体" w:eastAsia="新宋体" w:cs="新宋体"/>
          <w:i w:val="0"/>
          <w:caps w:val="0"/>
          <w:color w:val="444444"/>
          <w:spacing w:val="0"/>
          <w:sz w:val="18"/>
          <w:szCs w:val="18"/>
        </w:rPr>
      </w:pPr>
      <w:r>
        <w:rPr>
          <w:rFonts w:hint="eastAsia" w:ascii="新宋体" w:hAnsi="新宋体" w:eastAsia="新宋体" w:cs="新宋体"/>
          <w:i w:val="0"/>
          <w:caps w:val="0"/>
          <w:color w:val="444444"/>
          <w:spacing w:val="0"/>
          <w:sz w:val="18"/>
          <w:szCs w:val="18"/>
          <w:shd w:val="clear" w:fill="FFFFFF"/>
        </w:rPr>
        <w:t>最高人民法院 中国银行业监督管理委员会</w:t>
      </w:r>
    </w:p>
    <w:p>
      <w:pPr>
        <w:pStyle w:val="2"/>
        <w:keepNext w:val="0"/>
        <w:keepLines w:val="0"/>
        <w:widowControl/>
        <w:suppressLineNumbers w:val="0"/>
        <w:shd w:val="clear" w:fill="FFFFFF"/>
        <w:ind w:left="0" w:firstLine="0"/>
        <w:jc w:val="center"/>
        <w:rPr>
          <w:rFonts w:hint="eastAsia" w:ascii="新宋体" w:hAnsi="新宋体" w:eastAsia="新宋体" w:cs="新宋体"/>
          <w:i w:val="0"/>
          <w:caps w:val="0"/>
          <w:color w:val="444444"/>
          <w:spacing w:val="0"/>
          <w:sz w:val="18"/>
          <w:szCs w:val="18"/>
        </w:rPr>
      </w:pPr>
      <w:bookmarkStart w:id="0" w:name="_GoBack"/>
      <w:r>
        <w:rPr>
          <w:rFonts w:hint="eastAsia" w:ascii="新宋体" w:hAnsi="新宋体" w:eastAsia="新宋体" w:cs="新宋体"/>
          <w:b/>
          <w:i w:val="0"/>
          <w:caps w:val="0"/>
          <w:color w:val="444444"/>
          <w:spacing w:val="0"/>
          <w:sz w:val="36"/>
          <w:szCs w:val="36"/>
          <w:shd w:val="clear" w:fill="FFFFFF"/>
        </w:rPr>
        <w:t>关于人民法院与银行业金融机构开展网络执行查控和联合信用惩戒工作的意见</w:t>
      </w:r>
    </w:p>
    <w:bookmarkEnd w:id="0"/>
    <w:p>
      <w:pPr>
        <w:pStyle w:val="2"/>
        <w:keepNext w:val="0"/>
        <w:keepLines w:val="0"/>
        <w:widowControl/>
        <w:suppressLineNumbers w:val="0"/>
        <w:shd w:val="clear" w:fill="FFFFFF"/>
        <w:ind w:left="0" w:firstLine="0"/>
        <w:jc w:val="center"/>
        <w:rPr>
          <w:rFonts w:hint="eastAsia" w:ascii="新宋体" w:hAnsi="新宋体" w:eastAsia="新宋体" w:cs="新宋体"/>
          <w:i w:val="0"/>
          <w:caps w:val="0"/>
          <w:color w:val="444444"/>
          <w:spacing w:val="0"/>
          <w:sz w:val="18"/>
          <w:szCs w:val="18"/>
        </w:rPr>
      </w:pPr>
      <w:r>
        <w:rPr>
          <w:rFonts w:hint="eastAsia" w:ascii="新宋体" w:hAnsi="新宋体" w:eastAsia="新宋体" w:cs="新宋体"/>
          <w:i w:val="0"/>
          <w:caps w:val="0"/>
          <w:color w:val="444444"/>
          <w:spacing w:val="0"/>
          <w:sz w:val="18"/>
          <w:szCs w:val="18"/>
          <w:shd w:val="clear" w:fill="FFFFFF"/>
        </w:rPr>
        <w:t>法〔二○一四〕二六六号</w:t>
      </w:r>
    </w:p>
    <w:p>
      <w:pPr>
        <w:pStyle w:val="2"/>
        <w:keepNext w:val="0"/>
        <w:keepLines w:val="0"/>
        <w:widowControl/>
        <w:suppressLineNumbers w:val="0"/>
        <w:shd w:val="clear" w:fill="FFFFFF"/>
        <w:ind w:left="0" w:firstLine="0"/>
        <w:jc w:val="center"/>
        <w:rPr>
          <w:rFonts w:hint="eastAsia" w:ascii="新宋体" w:hAnsi="新宋体" w:eastAsia="新宋体" w:cs="新宋体"/>
          <w:i w:val="0"/>
          <w:caps w:val="0"/>
          <w:color w:val="444444"/>
          <w:spacing w:val="0"/>
          <w:sz w:val="18"/>
          <w:szCs w:val="18"/>
        </w:rPr>
      </w:pPr>
      <w:r>
        <w:rPr>
          <w:rFonts w:hint="eastAsia" w:ascii="新宋体" w:hAnsi="新宋体" w:eastAsia="新宋体" w:cs="新宋体"/>
          <w:i w:val="0"/>
          <w:caps w:val="0"/>
          <w:color w:val="444444"/>
          <w:spacing w:val="0"/>
          <w:sz w:val="18"/>
          <w:szCs w:val="18"/>
          <w:shd w:val="clear" w:fill="FFFFFF"/>
        </w:rPr>
        <w:t>发布时间：2014-11-03 10:16:22</w:t>
      </w:r>
    </w:p>
    <w:p>
      <w:pPr>
        <w:keepNext w:val="0"/>
        <w:keepLines w:val="0"/>
        <w:widowControl/>
        <w:suppressLineNumbers w:val="0"/>
        <w:pBdr>
          <w:top w:val="single" w:color="666666" w:sz="6" w:space="0"/>
          <w:left w:val="none" w:color="auto" w:sz="0" w:space="0"/>
          <w:bottom w:val="none" w:color="auto" w:sz="0" w:space="0"/>
          <w:right w:val="none" w:color="auto" w:sz="0" w:space="0"/>
        </w:pBdr>
        <w:ind w:left="0" w:firstLine="0"/>
        <w:rPr>
          <w:rFonts w:hint="eastAsia" w:ascii="新宋体" w:hAnsi="新宋体" w:eastAsia="新宋体" w:cs="新宋体"/>
          <w:i w:val="0"/>
          <w:caps w:val="0"/>
          <w:color w:val="444444"/>
          <w:spacing w:val="0"/>
          <w:sz w:val="18"/>
          <w:szCs w:val="18"/>
        </w:rPr>
      </w:pPr>
      <w:r>
        <w:rPr>
          <w:rFonts w:hint="eastAsia" w:ascii="新宋体" w:hAnsi="新宋体" w:eastAsia="新宋体" w:cs="新宋体"/>
          <w:i w:val="0"/>
          <w:caps w:val="0"/>
          <w:color w:val="444444"/>
          <w:spacing w:val="0"/>
          <w:sz w:val="18"/>
          <w:szCs w:val="18"/>
        </w:rPr>
        <w:pict>
          <v:rect id="_x0000_i1025" o:spt="1" style="height:0.75pt;width:432pt;" fillcolor="#444444"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各省、自治区、直辖市高级人民法院，解放军军事法院，新疆维吾尔自治区高级人民法院生产建设兵团分院；各银监局；各政策性银行、国有商业银行、股份制商业银行、邮储银行、各省级农村信用联社：</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为维护司法权威，防范金融风险，保障当事人合法权益，推动社会信用体系建设，根据《中华人民共和国民事诉讼法》《中华人民共和国商业银行法》及《关于建立和完善执行联动机制若干问题的意见》等规定，结合工作实际，最高人民法院和中国银行业监督管理委员会就人民法院和银行业金融机构开展网络执行查控和联合信用惩戒工作，提出如下意见：</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    一、最高人民法院、中国银行业监督管理委员会鼓励和支持各级人民法院与银行业金融机构通过网络信息化方式，开展执行与协助执行、联合对失信被执行人进行信用惩戒等工作。</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    二、最高人民法院、中国银行业监督管理委员会鼓励和支持银行业金融机构与人民法院建立网络执行查控机制，通过网络查询被执行人存款和其他金融资产信息，办理其他协助事项。</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    银行业金融机构应当推进电子信息化建设，协助人民法院建立网络执行查控机制。</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    三、中国银行业监督管理委员会督促指导各银行业金融机构确定专门机构和人员负责网络执行查控工作，及时准确反馈办理结果；鼓励和支持开发批量自动查控功能，实现查询数据的准确和高效。</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    四、中国银行业监督管理委员会鼓励和支持人民法院与银行业金融机构在完备法律手续、保证资金安全的情况下，逐步通过网络实施查询、冻结、扣划等执行措施。</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    银行业金融机构尚未与人民法院建立网络执行查控机制，或者协助事项不能通过网络办理的，应当根据法律、司法解释和有关规定，协助人民法院现场办理。</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    五、中国银行业监督管理委员会鼓励和支持银行业金融机构与人民法院以全国法院执行案件信息系统为基础，建立全国网络执行查控机制。</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    全国网络执行查控机制建设主要采取两种模式。一是 “总对总”联网，即最高人民法院通过中国银行业监督管理委员会金融专网通道与各银行业金融机构总行网络对接。各级人民法院通过最高人民法院网络执行查控系统实施查控。二是“点对点”联网，即高级人民法院通过当地银监局金融专网通道与各银行业金融机构省级分行网络对接。本地人民法院通过高级人民法院执行查控系统实施本地查控，外地法院通过最高人民法院网络中转接入当地高级人民法院执行查控系统实施查控。</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各级人民法院与银行业金融机构及其分支机构已协议通过专线或其他网络建立网络查控机制的，可继续按原有模式建设和运行。本意见下发后，采用第二款以外模式建设的，应当经最高人民法院和中国银行业监督管理委员会同意。</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六、人民法院与银行业金融机构建立了网络执行查控机制的，通过网络执行查控系统对被执行人存款或其他金融资产采取查控措施，按照《最高人民法院关于网络查询、冻结被执行人存款的规定》（法释〔2013〕20号）执行。</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    七、各级法院应当加强管理，确保依照法律、法规、司法解释以及金融监管规定，查询和使用被执行人银行账户等信息，确保有关人员严格遵守保密规定。</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八、最高人民法院、中国银行业监督管理委员会鼓励和支持银行业金融机构与人民法院建立联合信用惩戒机制。银行业金融机构与人民法院通过网络传输等方式，共享失信被执行人名单及其他执行案件信息；银行业金融机构依照法律、法规规定，在融资信贷等金融服务领域，对失信被执行人等采取限制贷款、限制办理信用卡等措施。</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    九、上级法院和银行业监管机构应当加强对网络执行查控机制和联合信用惩戒机制建设的监督指导，协调处理两个机制建设和运行中产生的分歧和争议。</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    建立了合作关系的人民法院、银行业金融机构应当安排专人协调处理两个机制运行中发生的争议。协调无果的，可通过上级法院、银行业监管机构协调解决。</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    建立了合作关系的人民法院、银行业金融机构应当制定应急预案，配备专门的技术人员处理两个机制运行中的突发事件，保障系统安全。</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十、银行业金融机构依法协助人民法院办理网络执行查控措施，当事人或者利害关系人有异议的，银行业金融机构应当告知其根据民事诉讼法第二百二十五条之规定向执行法院提出，但银行业金融机构未按照协助执行通知书办理的除外。</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    十一、人民法院与银行业金融机构关于协助执行的有关规范性文件与本意见不一致的，以本意见为准。</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                                                        最高人民法院  中国银行业监督管理委员会</w:t>
      </w:r>
    </w:p>
    <w:p>
      <w:pPr>
        <w:pStyle w:val="2"/>
        <w:keepNext w:val="0"/>
        <w:keepLines w:val="0"/>
        <w:widowControl/>
        <w:suppressLineNumbers w:val="0"/>
      </w:pPr>
      <w:r>
        <w:rPr>
          <w:rFonts w:hint="eastAsia" w:ascii="新宋体" w:hAnsi="新宋体" w:eastAsia="新宋体" w:cs="新宋体"/>
          <w:i w:val="0"/>
          <w:caps w:val="0"/>
          <w:color w:val="444444"/>
          <w:spacing w:val="0"/>
          <w:sz w:val="21"/>
          <w:szCs w:val="21"/>
          <w:shd w:val="clear" w:fill="FFFFFF"/>
        </w:rPr>
        <w:t>                                                                    2014年10月24日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024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天凉好个秋</cp:lastModifiedBy>
  <dcterms:modified xsi:type="dcterms:W3CDTF">2019-06-18T00:21:23Z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